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14:paraId="7C1A56C1" w14:textId="77777777" w:rsidTr="00807B0C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56B86C29" w14:textId="77777777"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14:paraId="3CEC2997" w14:textId="77777777" w:rsidTr="00807B0C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97F1F9B" w14:textId="77777777"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14:paraId="03DA8A31" w14:textId="77777777" w:rsidTr="00807B0C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97A4AE" w14:textId="14979392" w:rsidR="00807B0C" w:rsidRDefault="00807B0C" w:rsidP="00EC5EF4"/>
          <w:p w14:paraId="74730296" w14:textId="77777777" w:rsidR="00807B0C" w:rsidRDefault="00807B0C" w:rsidP="00EC5EF4"/>
          <w:p w14:paraId="0DAB9C7C" w14:textId="77777777" w:rsidR="00807B0C" w:rsidRDefault="00807B0C" w:rsidP="00EC5EF4"/>
          <w:p w14:paraId="6BC70DF8" w14:textId="77777777" w:rsidR="00807B0C" w:rsidRDefault="00807B0C" w:rsidP="00EC5EF4"/>
          <w:p w14:paraId="4B046D1B" w14:textId="0B9EF26E"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A82AFE">
              <w:fldChar w:fldCharType="separate"/>
            </w:r>
            <w:r>
              <w:fldChar w:fldCharType="end"/>
            </w:r>
            <w:bookmarkEnd w:id="1"/>
          </w:p>
        </w:tc>
      </w:tr>
    </w:tbl>
    <w:p w14:paraId="71F4240F" w14:textId="77777777" w:rsidR="00B46070" w:rsidRPr="00B46070" w:rsidRDefault="00B46070" w:rsidP="00B46070">
      <w:pPr>
        <w:pStyle w:val="Abstand"/>
      </w:pPr>
    </w:p>
    <w:p w14:paraId="53AB1535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headerReference w:type="default" r:id="rId7"/>
          <w:footerReference w:type="default" r:id="rId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431DA42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E183E5F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1.2 Digitale Werkzeuge</w:t>
            </w:r>
          </w:p>
        </w:tc>
      </w:tr>
      <w:tr w:rsidR="006719E7" w14:paraId="1A43C62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32EECEA" w14:textId="77777777"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14:paraId="2F00A88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5162E72" w14:textId="77777777" w:rsidR="006719E7" w:rsidRPr="00901730" w:rsidRDefault="006719E7" w:rsidP="00DF59DB"/>
        </w:tc>
      </w:tr>
    </w:tbl>
    <w:p w14:paraId="474EFA98" w14:textId="77777777" w:rsidR="00B46070" w:rsidRDefault="00B46070" w:rsidP="00B46070">
      <w:pPr>
        <w:pStyle w:val="Abstand"/>
      </w:pPr>
    </w:p>
    <w:p w14:paraId="655983EB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13FC06C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BF07D19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1.3 Datenorganisation</w:t>
            </w:r>
          </w:p>
        </w:tc>
      </w:tr>
      <w:tr w:rsidR="006719E7" w14:paraId="1F122E1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69D6400" w14:textId="77777777"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14:paraId="582E835A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77E0264" w14:textId="77777777" w:rsidR="006719E7" w:rsidRPr="00BE2EC4" w:rsidRDefault="006719E7" w:rsidP="00BA5C7E"/>
        </w:tc>
      </w:tr>
    </w:tbl>
    <w:p w14:paraId="0B720969" w14:textId="77777777" w:rsidR="00B46070" w:rsidRPr="00BE2EC4" w:rsidRDefault="00B46070" w:rsidP="00B46070">
      <w:pPr>
        <w:pStyle w:val="Abstand"/>
      </w:pPr>
    </w:p>
    <w:p w14:paraId="3626BD44" w14:textId="77777777" w:rsidR="00807B0C" w:rsidRPr="00B241FC" w:rsidRDefault="00807B0C" w:rsidP="00EC5EF4">
      <w:pPr>
        <w:pStyle w:val="Headline2"/>
        <w:rPr>
          <w:color w:val="009639"/>
        </w:rPr>
        <w:sectPr w:rsidR="00807B0C" w:rsidRPr="00B241F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14:paraId="132F11C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0DFC255" w14:textId="77777777"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lastRenderedPageBreak/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14:paraId="3E424FD0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FC972B5" w14:textId="77777777"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14:paraId="4946C415" w14:textId="77777777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FCB209" w14:textId="44CAAF10" w:rsidR="00E472F5" w:rsidRPr="00BE2EC4" w:rsidRDefault="00B241FC" w:rsidP="00BA5C7E">
            <w:r>
              <w:t xml:space="preserve">Die Schüler lernen </w:t>
            </w:r>
            <w:r w:rsidR="00A82AFE">
              <w:t xml:space="preserve">die DGSVO kennen und vertiefen anhand von </w:t>
            </w:r>
            <w:proofErr w:type="gramStart"/>
            <w:r w:rsidR="00A82AFE">
              <w:t xml:space="preserve">Fallbeispielen </w:t>
            </w:r>
            <w:r>
              <w:t xml:space="preserve"> </w:t>
            </w:r>
            <w:r w:rsidR="00A82AFE">
              <w:t>ihr</w:t>
            </w:r>
            <w:proofErr w:type="gramEnd"/>
            <w:r w:rsidR="00A82AFE">
              <w:t xml:space="preserve"> Wissen.</w:t>
            </w:r>
          </w:p>
        </w:tc>
      </w:tr>
    </w:tbl>
    <w:p w14:paraId="3ADD380A" w14:textId="77777777"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14:paraId="53BBAC60" w14:textId="77777777"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14:paraId="21CC1951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61D0C96C" w14:textId="77777777"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2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2"/>
      <w:tr w:rsidR="00901730" w14:paraId="01DEAC65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DF3ED2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14:paraId="47B3A290" w14:textId="77777777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6885863" w14:textId="77777777" w:rsidR="00901730" w:rsidRPr="00901730" w:rsidRDefault="00901730" w:rsidP="0043727A"/>
        </w:tc>
      </w:tr>
    </w:tbl>
    <w:p w14:paraId="51703B90" w14:textId="77777777" w:rsidR="00B46070" w:rsidRDefault="00B46070" w:rsidP="001C18E2">
      <w:pPr>
        <w:pStyle w:val="Abstand"/>
      </w:pPr>
    </w:p>
    <w:p w14:paraId="0737ACF4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62580DD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9A9E791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2.2 Informationsauswertung</w:t>
            </w:r>
          </w:p>
        </w:tc>
      </w:tr>
      <w:tr w:rsidR="00901730" w14:paraId="30D9918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7CD7A4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14:paraId="250EAA1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B17CD4" w14:textId="77777777" w:rsidR="00901730" w:rsidRPr="00901730" w:rsidRDefault="00901730" w:rsidP="0043727A"/>
        </w:tc>
      </w:tr>
    </w:tbl>
    <w:p w14:paraId="3EA0A686" w14:textId="77777777" w:rsidR="00B46070" w:rsidRDefault="00B46070" w:rsidP="001C18E2">
      <w:pPr>
        <w:pStyle w:val="Abstand"/>
      </w:pPr>
    </w:p>
    <w:p w14:paraId="7DF2B88C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A7787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34213EEB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2.3 Informationsbewertung</w:t>
            </w:r>
          </w:p>
        </w:tc>
      </w:tr>
      <w:tr w:rsidR="00901730" w14:paraId="594458C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6A37EC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14:paraId="6B076F07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0E05F6" w14:textId="77777777" w:rsidR="00901730" w:rsidRDefault="00901730" w:rsidP="0043727A"/>
        </w:tc>
      </w:tr>
    </w:tbl>
    <w:p w14:paraId="173B5662" w14:textId="77777777" w:rsidR="00B46070" w:rsidRDefault="00B46070" w:rsidP="001C18E2">
      <w:pPr>
        <w:pStyle w:val="Abstand"/>
      </w:pPr>
    </w:p>
    <w:p w14:paraId="639EBDA1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3B47C83F" w14:textId="77777777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A6DA45F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2.4 Informationskritik</w:t>
            </w:r>
          </w:p>
        </w:tc>
      </w:tr>
      <w:tr w:rsidR="00901730" w14:paraId="04C2C9E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BD9FCC4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14:paraId="18504468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C8E043" w14:textId="77777777" w:rsidR="00901730" w:rsidRDefault="00901730" w:rsidP="0043727A"/>
        </w:tc>
      </w:tr>
    </w:tbl>
    <w:p w14:paraId="5A5D09FE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26875020" w:rsidR="00901730" w:rsidRPr="00901730" w:rsidRDefault="00A82AFE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 w:rsidR="00FA5D0C">
              <w:t xml:space="preserve"> </w:t>
            </w:r>
            <w:r>
              <w:t>lernen</w:t>
            </w:r>
            <w:r w:rsidR="00FA5D0C">
              <w:t xml:space="preserve"> digitale Prinzip </w:t>
            </w:r>
            <w:r>
              <w:t xml:space="preserve">des Teilen und Herrschens anhand des Sortieralgorithmus </w:t>
            </w:r>
            <w:proofErr w:type="spellStart"/>
            <w:r>
              <w:t>Mergssort</w:t>
            </w:r>
            <w:proofErr w:type="spellEnd"/>
            <w:r>
              <w:t xml:space="preserve"> kenenn.</w:t>
            </w:r>
            <w:bookmarkStart w:id="3" w:name="_GoBack"/>
            <w:bookmarkEnd w:id="3"/>
          </w:p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3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2BF20930" w:rsidR="00901730" w:rsidRPr="00901730" w:rsidRDefault="00FA5D0C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A82AFE">
              <w:t xml:space="preserve">lernen die Struktur Array kennen und bearbeiten </w:t>
            </w:r>
            <w:proofErr w:type="gramStart"/>
            <w:r w:rsidR="00A82AFE">
              <w:t>damit verschiedene Problemen</w:t>
            </w:r>
            <w:proofErr w:type="gramEnd"/>
            <w:r w:rsidR="00A82AFE">
              <w:t>. Weiterhin erstellen und bewerten sie Such- und Sortieralgorithmen</w:t>
            </w:r>
          </w:p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6B5D966C" w:rsidR="00901730" w:rsidRPr="00B241FC" w:rsidRDefault="00B241FC" w:rsidP="00A82AFE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formalisieren selbstständig Algorithmen </w:t>
            </w:r>
            <w:r w:rsidR="00A82AFE">
              <w:t>und Datenstrukturen in Objektorientierten Programmiersprachen. Sie schauen sich Algorithmen und Datenstrukturen an und beurteilen diese auf Korrektheit und optimieren und verbessern diese ggf.</w:t>
            </w:r>
          </w:p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22449351" w:rsidR="00901730" w:rsidRDefault="00B241FC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A82AFE">
              <w:t>lernen die Funktion von Algorithmen anhand der Programmiersprache Java kennen.</w:t>
            </w:r>
          </w:p>
        </w:tc>
      </w:tr>
    </w:tbl>
    <w:p w14:paraId="62FFE771" w14:textId="77777777" w:rsidR="00BE2EC4" w:rsidRDefault="00BE2EC4" w:rsidP="00BE2EC4"/>
    <w:sectPr w:rsidR="00BE2EC4" w:rsidSect="00F078E6">
      <w:headerReference w:type="default" r:id="rId14"/>
      <w:footerReference w:type="default" r:id="rId15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F" w14:textId="77777777"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4CD6256" wp14:editId="264248C6">
          <wp:extent cx="7056000" cy="389579"/>
          <wp:effectExtent l="0" t="0" r="0" b="0"/>
          <wp:docPr id="1659997042" name="Grafik 165999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75E" w14:textId="77777777" w:rsidR="00BE2EC4" w:rsidRDefault="00BE2EC4" w:rsidP="00807B0C">
    <w:pPr>
      <w:pStyle w:val="Kopfzeile"/>
    </w:pPr>
    <w:r>
      <w:rPr>
        <w:noProof/>
        <w:lang w:eastAsia="de-DE"/>
      </w:rPr>
      <w:drawing>
        <wp:inline distT="0" distB="0" distL="0" distR="0" wp14:anchorId="7F37D735" wp14:editId="1C4817FF">
          <wp:extent cx="7056000" cy="636023"/>
          <wp:effectExtent l="0" t="0" r="0" b="0"/>
          <wp:docPr id="897486842" name="Grafik 897486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DAE2" w14:textId="77777777"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14:paraId="61D468B6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14:paraId="700DF09B" w14:textId="77777777"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14:paraId="2CC1F871" w14:textId="77777777" w:rsidR="00BE2EC4" w:rsidRPr="007E105A" w:rsidRDefault="00BE2EC4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82AFE"/>
    <w:rsid w:val="00AC3252"/>
    <w:rsid w:val="00B241FC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A5D0C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character" w:styleId="Hyperlink">
    <w:name w:val="Hyperlink"/>
    <w:basedOn w:val="Absatz-Standardschriftart"/>
    <w:uiPriority w:val="99"/>
    <w:semiHidden/>
    <w:unhideWhenUsed/>
    <w:rsid w:val="00B2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82E2-4BF3-4DAC-98A0-FA628FB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24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Philipp Voß</cp:lastModifiedBy>
  <cp:revision>3</cp:revision>
  <dcterms:created xsi:type="dcterms:W3CDTF">2023-10-19T11:29:00Z</dcterms:created>
  <dcterms:modified xsi:type="dcterms:W3CDTF">2023-10-19T11:37:00Z</dcterms:modified>
</cp:coreProperties>
</file>